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淇县人民医院护士鞋采购项目</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eastAsia"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FHCG-2023-010</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9"/>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8"/>
        <w:numPr>
          <w:ilvl w:val="0"/>
          <w:numId w:val="0"/>
        </w:numPr>
        <w:ind w:left="360" w:leftChars="0"/>
        <w:jc w:val="both"/>
      </w:pPr>
    </w:p>
    <w:p/>
    <w:p>
      <w:pPr>
        <w:pStyle w:val="8"/>
        <w:numPr>
          <w:ilvl w:val="0"/>
          <w:numId w:val="0"/>
        </w:numPr>
        <w:ind w:left="360" w:leftChars="0"/>
        <w:jc w:val="both"/>
      </w:pPr>
    </w:p>
    <w:p/>
    <w:p>
      <w:pPr>
        <w:pStyle w:val="13"/>
        <w:rPr>
          <w:rFonts w:ascii="宋体" w:cs="宋体"/>
        </w:rPr>
      </w:pPr>
    </w:p>
    <w:p>
      <w:pPr>
        <w:rPr>
          <w:rFonts w:ascii="宋体" w:cs="宋体"/>
          <w:color w:val="000000"/>
          <w:sz w:val="32"/>
          <w:szCs w:val="32"/>
        </w:rPr>
      </w:pPr>
    </w:p>
    <w:p>
      <w:pPr>
        <w:pStyle w:val="13"/>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四</w:t>
      </w:r>
      <w:r>
        <w:rPr>
          <w:rFonts w:hint="eastAsia" w:ascii="宋体" w:hAnsi="宋体" w:cs="宋体"/>
          <w:b/>
          <w:sz w:val="32"/>
          <w:szCs w:val="32"/>
        </w:rPr>
        <w:t>月</w:t>
      </w:r>
    </w:p>
    <w:p>
      <w:pPr>
        <w:pStyle w:val="17"/>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rFonts w:hint="eastAsia"/>
          <w:sz w:val="32"/>
          <w:szCs w:val="32"/>
          <w:lang w:val="en-US" w:eastAsia="zh-CN"/>
        </w:rPr>
        <w:t>8</w:t>
      </w:r>
      <w:r>
        <w:rPr>
          <w:sz w:val="32"/>
          <w:szCs w:val="32"/>
        </w:rPr>
        <w:fldChar w:fldCharType="end"/>
      </w:r>
    </w:p>
    <w:p>
      <w:pPr>
        <w:pStyle w:val="36"/>
        <w:tabs>
          <w:tab w:val="right" w:leader="dot" w:pos="8306"/>
        </w:tabs>
        <w:spacing w:line="720" w:lineRule="auto"/>
        <w:rPr>
          <w:rFonts w:hint="eastAsia" w:eastAsia="宋体"/>
          <w:sz w:val="32"/>
          <w:szCs w:val="32"/>
          <w:lang w:val="en-US" w:eastAsia="zh-CN"/>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1</w:t>
      </w:r>
    </w:p>
    <w:p>
      <w:pPr>
        <w:pStyle w:val="36"/>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rFonts w:hint="eastAsia"/>
          <w:sz w:val="32"/>
          <w:szCs w:val="32"/>
          <w:lang w:val="en-US" w:eastAsia="zh-CN"/>
        </w:rPr>
        <w:t>13</w:t>
      </w:r>
      <w:r>
        <w:rPr>
          <w:sz w:val="32"/>
          <w:szCs w:val="32"/>
        </w:rPr>
        <w:fldChar w:fldCharType="end"/>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35"/>
        <w:rPr>
          <w:rFonts w:hint="eastAsia"/>
          <w:lang w:eastAsia="zh-CN"/>
        </w:rPr>
      </w:pPr>
    </w:p>
    <w:p>
      <w:pPr>
        <w:pStyle w:val="13"/>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5276"/>
      <w:bookmarkStart w:id="2" w:name="_Toc15317"/>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淇县人民医院护士鞋采购项目</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就淇县人民医院护士鞋采购项目以询价方式选择供应商，欢迎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淇县人民医院护士鞋采购项目；</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FHCG-2023-010</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45000</w:t>
      </w:r>
      <w:r>
        <w:rPr>
          <w:rFonts w:hint="eastAsia" w:ascii="宋体" w:hAnsi="宋体"/>
          <w:color w:val="auto"/>
          <w:sz w:val="24"/>
          <w:szCs w:val="24"/>
          <w:highlight w:val="none"/>
        </w:rPr>
        <w:t>元</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24699"/>
      <w:bookmarkStart w:id="6" w:name="_Toc10164"/>
      <w:bookmarkStart w:id="7" w:name="_Toc26448"/>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9"/>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cs="宋体"/>
          <w:sz w:val="24"/>
          <w:szCs w:val="24"/>
          <w:lang w:eastAsia="zh-CN"/>
        </w:rPr>
        <w:t>淇县人民医院护士鞋</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资金来源：自筹资金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供货期</w:t>
      </w:r>
      <w:r>
        <w:rPr>
          <w:rFonts w:hint="eastAsia" w:ascii="宋体" w:hAnsi="宋体" w:cs="宋体"/>
          <w:sz w:val="24"/>
          <w:szCs w:val="24"/>
          <w:lang w:val="en-US" w:eastAsia="zh-CN"/>
        </w:rPr>
        <w:t>：30日历天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4、质保期：一年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4414"/>
      <w:bookmarkStart w:id="10" w:name="_Toc5748"/>
      <w:bookmarkStart w:id="11" w:name="_Toc18626"/>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 xml:space="preserve">3、本项目不接受联合体参加。 </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18023"/>
      <w:bookmarkStart w:id="13" w:name="_Toc125"/>
      <w:bookmarkStart w:id="14" w:name="_Toc30937"/>
      <w:bookmarkStart w:id="15" w:name="_Toc17796_WPSOffice_Level2"/>
      <w:bookmarkStart w:id="16" w:name="_Toc16452_WPSOffice_Level2"/>
      <w:r>
        <w:rPr>
          <w:rFonts w:hint="eastAsia" w:ascii="宋体" w:hAnsi="宋体" w:eastAsia="宋体" w:cs="Times New Roman"/>
          <w:bCs w:val="0"/>
          <w:color w:val="auto"/>
          <w:sz w:val="24"/>
          <w:szCs w:val="24"/>
          <w:highlight w:val="none"/>
          <w:lang w:eastAsia="zh-CN"/>
        </w:rPr>
        <w:t>七、</w:t>
      </w:r>
      <w:bookmarkStart w:id="17"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17"/>
    </w:p>
    <w:bookmarkEnd w:id="15"/>
    <w:bookmarkEnd w:id="16"/>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间：2023年04月27日至2023年05月04日，上午8:30-11:30时，下午15:00-17:00时（法定公休日、法定节假日除外）。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Start w:id="18" w:name="_Toc21697"/>
      <w:bookmarkStart w:id="19" w:name="_Toc8550"/>
      <w:bookmarkStart w:id="20" w:name="_Toc24672"/>
      <w:bookmarkStart w:id="21" w:name="_Toc31977"/>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18"/>
      <w:bookmarkEnd w:id="19"/>
      <w:bookmarkEnd w:id="20"/>
      <w:bookmarkEnd w:id="21"/>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2023年05月05日15:3</w:t>
      </w:r>
      <w:bookmarkStart w:id="119" w:name="_GoBack"/>
      <w:bookmarkEnd w:id="119"/>
      <w:r>
        <w:rPr>
          <w:rFonts w:hint="eastAsia" w:ascii="宋体" w:hAnsi="Times New Roman" w:cs="Times New Roman"/>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red"/>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p>
    <w:p>
      <w:pPr>
        <w:pStyle w:val="13"/>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bookmarkStart w:id="22" w:name="_Toc18052549"/>
      <w:bookmarkStart w:id="23" w:name="_Toc10397"/>
      <w:bookmarkStart w:id="24" w:name="_Toc30041"/>
      <w:bookmarkStart w:id="25" w:name="_Toc20612"/>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22"/>
      <w:r>
        <w:rPr>
          <w:rFonts w:hint="eastAsia" w:ascii="宋体" w:hAnsi="宋体" w:eastAsia="宋体" w:cs="宋体"/>
          <w:color w:val="auto"/>
          <w:sz w:val="24"/>
          <w:szCs w:val="24"/>
          <w:highlight w:val="none"/>
          <w:lang w:val="zh-CN"/>
        </w:rPr>
        <w:t>方式</w:t>
      </w:r>
      <w:bookmarkEnd w:id="23"/>
      <w:bookmarkEnd w:id="24"/>
      <w:bookmarkEnd w:id="25"/>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联系电话：15346295559</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8"/>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7"/>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11"/>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11"/>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11"/>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11"/>
        <w:spacing w:line="40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7"/>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7"/>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540" w:lineRule="exact"/>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淇县人民医院护士鞋采购项目</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45000.00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1.5供货期：30日历天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一</w:t>
      </w:r>
      <w:r>
        <w:rPr>
          <w:rFonts w:hint="eastAsia" w:asciiTheme="minorEastAsia" w:hAnsiTheme="minorEastAsia" w:eastAsiaTheme="minorEastAsia"/>
          <w:sz w:val="24"/>
          <w:szCs w:val="24"/>
          <w:highlight w:val="none"/>
          <w:shd w:val="clear" w:color="auto" w:fill="FFFFFF" w:themeFill="background1"/>
          <w:lang w:val="en-US" w:eastAsia="zh-CN"/>
        </w:rPr>
        <w:t xml:space="preserve">年； </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456" w:firstLineChars="200"/>
        <w:jc w:val="left"/>
        <w:textAlignment w:val="auto"/>
        <w:rPr>
          <w:rFonts w:hint="default"/>
          <w:b/>
          <w:bCs/>
          <w:sz w:val="24"/>
          <w:szCs w:val="24"/>
          <w:lang w:val="en-US" w:eastAsia="zh-CN"/>
        </w:rPr>
      </w:pPr>
      <w:r>
        <w:rPr>
          <w:rFonts w:hint="eastAsia"/>
          <w:b/>
          <w:bCs/>
          <w:sz w:val="24"/>
          <w:szCs w:val="24"/>
          <w:lang w:val="en-US" w:eastAsia="zh-CN"/>
        </w:rPr>
        <w:t>二、采购清单及技术要求</w:t>
      </w:r>
    </w:p>
    <w:tbl>
      <w:tblPr>
        <w:tblStyle w:val="21"/>
        <w:tblW w:w="9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5"/>
        <w:gridCol w:w="1416"/>
        <w:gridCol w:w="5820"/>
        <w:gridCol w:w="785"/>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物品名称</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技术规格</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单位</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护士鞋</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鞋面</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优质白色一层纳帕软牛皮、厚度1.6mm以上，质地</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柔韧、结实耐穿，耐酸碱、耐腐蚀，不松面、光感好、易清洁。</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内里</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纯天然猪皮内里，舒适、透气、防菌、绿色环保，</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防霉、防臭、防菌。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鞋垫</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天然乳胶外粘猪皮垫面，有良好的吸湿导汗性能位</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防霉、防臭，透气性好。</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鞋底</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鞋底，EVA轻盈弹性鞋底耐磨、止滑、静音、柔软、</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轻巧、防寒、减压，</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尺码</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参照中国国标，均符合中国人正常穿着大小33＃-</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43#</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整体性能、质地</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帮面图层采用进口纳米图层技术美观大方，正码，码数范围较大，质地好、轻便、不磨脚、不累脚。耐折4万次，鞋底跟鞋面采用手工缝合连接，无胶水，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更环保，耐磨，耐酸，耐碱，耐腐蚀。</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双</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369</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1、投标人在满足技术要求和性能的前提下可投同档次或优于上述参数、性能和质量的货物。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投标人须提供符合国家质量标准、部颁标准、行业标准、地方标准、规范或本招标文件规定标准的、供货渠道合法的全新原装合格正品（包括零部件、备件）。所提供的货物应当同时符合国家有关安全、卫生、环保等规定。</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3、投标报价是履行合同的最终报价，无特别注明，均为人民币报价。应包括本项目所包含的货物包装、仓储、运输、装卸、保险、税金等一切费用。</w:t>
      </w:r>
    </w:p>
    <w:p>
      <w:pPr>
        <w:pStyle w:val="35"/>
        <w:keepNext w:val="0"/>
        <w:keepLines w:val="0"/>
        <w:pageBreakBefore w:val="0"/>
        <w:widowControl w:val="0"/>
        <w:kinsoku/>
        <w:wordWrap/>
        <w:overflowPunct/>
        <w:topLinePunct w:val="0"/>
        <w:autoSpaceDE/>
        <w:autoSpaceDN/>
        <w:bidi w:val="0"/>
        <w:adjustRightInd/>
        <w:spacing w:line="540" w:lineRule="exact"/>
        <w:textAlignment w:val="auto"/>
        <w:rPr>
          <w:rFonts w:hint="eastAsia"/>
          <w:b/>
          <w:bCs/>
          <w:lang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35"/>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numPr>
          <w:ilvl w:val="0"/>
          <w:numId w:val="7"/>
        </w:numPr>
        <w:jc w:val="center"/>
        <w:outlineLvl w:val="0"/>
        <w:rPr>
          <w:rFonts w:ascii="宋体" w:cs="宋体"/>
          <w:b/>
          <w:sz w:val="32"/>
          <w:szCs w:val="32"/>
        </w:rPr>
      </w:pPr>
      <w:bookmarkStart w:id="36" w:name="_Toc1278"/>
      <w:bookmarkStart w:id="37" w:name="_Toc328404524"/>
      <w:r>
        <w:rPr>
          <w:rFonts w:ascii="宋体" w:hAnsi="宋体" w:cs="宋体"/>
          <w:b/>
          <w:sz w:val="32"/>
          <w:szCs w:val="32"/>
        </w:rPr>
        <w:t xml:space="preserve"> </w:t>
      </w:r>
      <w:bookmarkEnd w:id="36"/>
      <w:bookmarkStart w:id="38" w:name="_Toc9411"/>
      <w:bookmarkStart w:id="39"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8"/>
    </w:p>
    <w:p>
      <w:pPr>
        <w:jc w:val="center"/>
        <w:rPr>
          <w:b/>
          <w:bCs/>
          <w:sz w:val="32"/>
          <w:szCs w:val="32"/>
        </w:rPr>
      </w:pPr>
      <w:r>
        <w:rPr>
          <w:rFonts w:hint="eastAsia" w:ascii="宋体" w:hAnsi="宋体" w:cs="宋体"/>
          <w:b/>
          <w:sz w:val="28"/>
          <w:szCs w:val="28"/>
        </w:rPr>
        <w:t>资格审查条件</w:t>
      </w:r>
      <w:bookmarkEnd w:id="39"/>
      <w:r>
        <w:rPr>
          <w:rFonts w:hint="eastAsia" w:ascii="宋体" w:hAnsi="宋体" w:cs="宋体"/>
          <w:b/>
          <w:sz w:val="28"/>
          <w:szCs w:val="28"/>
        </w:rPr>
        <w:t>表</w:t>
      </w:r>
    </w:p>
    <w:tbl>
      <w:tblPr>
        <w:tblStyle w:val="21"/>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45"/>
        <w:gridCol w:w="1690"/>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87"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690"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4628"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符合《中华人民共和国政府采购法》第二十二条规定</w:t>
            </w:r>
            <w:r>
              <w:rPr>
                <w:rFonts w:hint="eastAsia" w:ascii="宋体" w:hAnsi="宋体" w:cs="宋体"/>
                <w:sz w:val="24"/>
                <w:szCs w:val="24"/>
                <w:lang w:val="en-US" w:eastAsia="zh-CN"/>
              </w:rPr>
              <w:t>(提供证明或承诺)</w:t>
            </w: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供货期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质保期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45000元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低于采购预算价控制价为有效报价</w:t>
            </w:r>
          </w:p>
        </w:tc>
      </w:tr>
    </w:tbl>
    <w:p>
      <w:pPr>
        <w:rPr>
          <w:rFonts w:hint="eastAsia"/>
        </w:rPr>
      </w:pPr>
      <w:bookmarkStart w:id="40" w:name="_Toc3224"/>
    </w:p>
    <w:p>
      <w:pPr>
        <w:pStyle w:val="8"/>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0"/>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8"/>
        <w:numPr>
          <w:ilvl w:val="0"/>
          <w:numId w:val="0"/>
        </w:numPr>
        <w:spacing w:line="400" w:lineRule="exact"/>
        <w:ind w:left="360"/>
        <w:jc w:val="both"/>
        <w:rPr>
          <w:rFonts w:ascii="宋体" w:hAnsi="宋体" w:eastAsia="宋体" w:cs="宋体"/>
          <w:szCs w:val="24"/>
        </w:rPr>
      </w:pPr>
      <w:bookmarkStart w:id="41" w:name="_Toc11509"/>
      <w:bookmarkStart w:id="42" w:name="_Toc414277856"/>
      <w:r>
        <w:rPr>
          <w:rFonts w:hint="eastAsia" w:ascii="宋体" w:hAnsi="宋体" w:eastAsia="宋体" w:cs="宋体"/>
          <w:szCs w:val="24"/>
        </w:rPr>
        <w:t>二、响应文件的评审</w:t>
      </w:r>
      <w:bookmarkEnd w:id="41"/>
      <w:bookmarkEnd w:id="42"/>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8"/>
        <w:numPr>
          <w:ilvl w:val="0"/>
          <w:numId w:val="0"/>
        </w:numPr>
        <w:spacing w:line="400" w:lineRule="exact"/>
        <w:ind w:left="360"/>
        <w:jc w:val="both"/>
        <w:rPr>
          <w:rFonts w:ascii="宋体" w:hAnsi="宋体" w:eastAsia="宋体" w:cs="宋体"/>
          <w:szCs w:val="24"/>
        </w:rPr>
      </w:pPr>
      <w:bookmarkStart w:id="43" w:name="_Toc14035"/>
      <w:r>
        <w:rPr>
          <w:rFonts w:hint="eastAsia" w:ascii="宋体" w:hAnsi="宋体" w:eastAsia="宋体" w:cs="宋体"/>
          <w:szCs w:val="24"/>
        </w:rPr>
        <w:t>三、确定成交人</w:t>
      </w:r>
      <w:bookmarkEnd w:id="43"/>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8"/>
        <w:numPr>
          <w:ilvl w:val="0"/>
          <w:numId w:val="0"/>
        </w:numPr>
        <w:spacing w:line="400" w:lineRule="exact"/>
        <w:ind w:left="360"/>
        <w:jc w:val="both"/>
        <w:rPr>
          <w:rFonts w:ascii="宋体" w:hAnsi="宋体" w:eastAsia="宋体" w:cs="宋体"/>
          <w:szCs w:val="24"/>
        </w:rPr>
      </w:pPr>
      <w:bookmarkStart w:id="44" w:name="_Toc26380"/>
      <w:r>
        <w:rPr>
          <w:rFonts w:hint="eastAsia" w:ascii="宋体" w:hAnsi="宋体" w:eastAsia="宋体" w:cs="宋体"/>
          <w:szCs w:val="24"/>
        </w:rPr>
        <w:t>四、成交通知书</w:t>
      </w:r>
      <w:bookmarkEnd w:id="44"/>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8"/>
        <w:numPr>
          <w:ilvl w:val="0"/>
          <w:numId w:val="0"/>
        </w:numPr>
        <w:spacing w:line="400" w:lineRule="exact"/>
        <w:ind w:left="360"/>
        <w:jc w:val="both"/>
        <w:rPr>
          <w:rFonts w:hint="eastAsia" w:ascii="宋体" w:hAnsi="宋体" w:eastAsia="宋体" w:cs="宋体"/>
          <w:szCs w:val="24"/>
        </w:rPr>
      </w:pPr>
      <w:bookmarkStart w:id="45" w:name="_Toc213"/>
      <w:r>
        <w:rPr>
          <w:rFonts w:hint="eastAsia" w:ascii="宋体" w:hAnsi="宋体" w:eastAsia="宋体" w:cs="宋体"/>
          <w:szCs w:val="24"/>
        </w:rPr>
        <w:t>五、签订合同</w:t>
      </w:r>
      <w:bookmarkEnd w:id="45"/>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号文件精神：该项目的增值税和所得税须在项目所在地税务机关缴纳。不做此承诺的，按不响应询价文件处理（格式自拟）。</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7"/>
        <w:spacing w:line="380" w:lineRule="exact"/>
        <w:jc w:val="both"/>
        <w:rPr>
          <w:rFonts w:hint="eastAsia" w:ascii="宋体" w:hAnsi="宋体" w:cs="宋体"/>
          <w:bCs w:val="0"/>
          <w:sz w:val="32"/>
          <w:szCs w:val="32"/>
        </w:rPr>
      </w:pPr>
      <w:bookmarkStart w:id="46" w:name="_Toc9741"/>
      <w:bookmarkStart w:id="47" w:name="_Toc14414"/>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ascii="宋体" w:hAnsi="宋体" w:cs="宋体"/>
          <w:bCs w:val="0"/>
          <w:sz w:val="32"/>
          <w:szCs w:val="32"/>
        </w:rPr>
      </w:pPr>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rPr>
      </w:pPr>
    </w:p>
    <w:p>
      <w:pPr>
        <w:pStyle w:val="7"/>
        <w:spacing w:line="380" w:lineRule="exact"/>
        <w:jc w:val="both"/>
        <w:rPr>
          <w:rFonts w:hint="eastAsia" w:ascii="宋体" w:hAnsi="宋体" w:cs="宋体"/>
          <w:bCs w:val="0"/>
          <w:sz w:val="32"/>
          <w:szCs w:val="32"/>
        </w:rPr>
      </w:pPr>
    </w:p>
    <w:p>
      <w:pPr>
        <w:pStyle w:val="7"/>
        <w:spacing w:line="380" w:lineRule="exact"/>
        <w:jc w:val="both"/>
        <w:rPr>
          <w:rFonts w:hint="eastAsia" w:ascii="宋体" w:hAnsi="宋体" w:cs="宋体"/>
          <w:bCs w:val="0"/>
          <w:sz w:val="32"/>
          <w:szCs w:val="32"/>
        </w:rPr>
      </w:pPr>
    </w:p>
    <w:p>
      <w:pPr>
        <w:pStyle w:val="7"/>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6"/>
      <w:bookmarkEnd w:id="47"/>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8"/>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13"/>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7"/>
        <w:spacing w:line="400" w:lineRule="exact"/>
        <w:jc w:val="center"/>
        <w:rPr>
          <w:rFonts w:ascii="宋体" w:cs="宋体"/>
          <w:bCs w:val="0"/>
          <w:sz w:val="32"/>
          <w:szCs w:val="32"/>
        </w:rPr>
      </w:pPr>
      <w:bookmarkStart w:id="48" w:name="_Toc14033"/>
      <w:bookmarkStart w:id="49" w:name="_Toc24319"/>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8"/>
      <w:bookmarkEnd w:id="49"/>
    </w:p>
    <w:p>
      <w:pPr>
        <w:pStyle w:val="8"/>
        <w:numPr>
          <w:ilvl w:val="0"/>
          <w:numId w:val="0"/>
        </w:numPr>
        <w:ind w:left="360"/>
        <w:rPr>
          <w:rFonts w:ascii="宋体" w:hAnsi="宋体" w:eastAsia="宋体" w:cs="宋体"/>
          <w:b w:val="0"/>
          <w:sz w:val="28"/>
          <w:szCs w:val="28"/>
        </w:rPr>
      </w:pPr>
      <w:bookmarkStart w:id="50"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1" w:name="_Toc3135_WPSOffice_Level1"/>
      <w:bookmarkStart w:id="52" w:name="_Toc19817_WPSOffice_Level1"/>
      <w:bookmarkStart w:id="53" w:name="_Toc445_WPSOffice_Level1"/>
      <w:bookmarkStart w:id="54" w:name="_Toc11113"/>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1"/>
      <w:bookmarkEnd w:id="52"/>
      <w:bookmarkEnd w:id="53"/>
      <w:bookmarkEnd w:id="54"/>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5" w:name="_Toc5977"/>
      <w:bookmarkStart w:id="56" w:name="_Toc8136_WPSOffice_Level1"/>
      <w:bookmarkStart w:id="57" w:name="_Toc16360_WPSOffice_Level1"/>
      <w:r>
        <w:rPr>
          <w:rFonts w:hint="eastAsia" w:ascii="宋体" w:hAnsi="宋体" w:cs="宋体"/>
          <w:b/>
          <w:bCs/>
          <w:kern w:val="0"/>
          <w:sz w:val="36"/>
          <w:szCs w:val="36"/>
        </w:rPr>
        <w:t>（项目名称）</w:t>
      </w:r>
    </w:p>
    <w:p>
      <w:pPr>
        <w:pStyle w:val="35"/>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5"/>
    </w:p>
    <w:p>
      <w:pPr>
        <w:pStyle w:val="35"/>
        <w:rPr>
          <w:rFonts w:hint="eastAsia"/>
          <w:lang w:eastAsia="zh-CN"/>
        </w:rPr>
      </w:pPr>
    </w:p>
    <w:p>
      <w:pPr>
        <w:pStyle w:val="35"/>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6"/>
      <w:bookmarkEnd w:id="57"/>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35"/>
        <w:rPr>
          <w:rFonts w:hint="eastAsia"/>
          <w:lang w:eastAsia="zh-CN"/>
        </w:rPr>
      </w:pPr>
    </w:p>
    <w:p>
      <w:pPr>
        <w:pStyle w:val="35"/>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8"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35"/>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8"/>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35"/>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8"/>
        <w:numPr>
          <w:ilvl w:val="0"/>
          <w:numId w:val="0"/>
        </w:numPr>
        <w:ind w:left="360"/>
        <w:rPr>
          <w:rFonts w:ascii="宋体" w:hAnsi="宋体" w:eastAsia="宋体" w:cs="宋体"/>
          <w:sz w:val="32"/>
          <w:szCs w:val="32"/>
        </w:rPr>
      </w:pPr>
      <w:bookmarkStart w:id="59" w:name="_Toc18210"/>
      <w:bookmarkStart w:id="60" w:name="_Toc15923_WPSOffice_Level1"/>
      <w:bookmarkStart w:id="61" w:name="_Toc1968_WPSOffice_Level1"/>
      <w:bookmarkStart w:id="62" w:name="_Toc13168_WPSOffice_Level1"/>
      <w:r>
        <w:rPr>
          <w:rFonts w:hint="eastAsia" w:ascii="宋体" w:hAnsi="宋体" w:eastAsia="宋体" w:cs="宋体"/>
          <w:sz w:val="32"/>
          <w:szCs w:val="32"/>
        </w:rPr>
        <w:t>一、</w:t>
      </w:r>
      <w:bookmarkEnd w:id="37"/>
      <w:r>
        <w:rPr>
          <w:rFonts w:hint="eastAsia" w:ascii="宋体" w:hAnsi="宋体" w:eastAsia="宋体" w:cs="宋体"/>
          <w:sz w:val="32"/>
          <w:szCs w:val="32"/>
        </w:rPr>
        <w:t>询价响应书</w:t>
      </w:r>
      <w:bookmarkEnd w:id="50"/>
      <w:bookmarkEnd w:id="59"/>
      <w:bookmarkEnd w:id="60"/>
      <w:bookmarkEnd w:id="61"/>
      <w:bookmarkEnd w:id="62"/>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9"/>
      </w:pPr>
    </w:p>
    <w:p>
      <w:pPr>
        <w:spacing w:line="600" w:lineRule="auto"/>
        <w:rPr>
          <w:rFonts w:ascii="宋体" w:cs="宋体"/>
          <w:sz w:val="24"/>
        </w:rPr>
      </w:pPr>
    </w:p>
    <w:p>
      <w:pPr>
        <w:pStyle w:val="8"/>
        <w:numPr>
          <w:ilvl w:val="0"/>
          <w:numId w:val="0"/>
        </w:numPr>
        <w:ind w:left="360"/>
        <w:rPr>
          <w:rFonts w:ascii="宋体" w:hAnsi="宋体" w:eastAsia="宋体" w:cs="宋体"/>
          <w:sz w:val="32"/>
          <w:szCs w:val="21"/>
        </w:rPr>
      </w:pPr>
      <w:bookmarkStart w:id="63" w:name="_Toc13485_WPSOffice_Level1"/>
      <w:bookmarkStart w:id="64" w:name="_Toc11752_WPSOffice_Level1"/>
      <w:bookmarkStart w:id="65" w:name="_Toc29085"/>
      <w:bookmarkStart w:id="66" w:name="_Toc12954_WPSOffice_Level1"/>
      <w:bookmarkStart w:id="67" w:name="_Toc27211"/>
      <w:r>
        <w:rPr>
          <w:rFonts w:hint="eastAsia" w:ascii="宋体" w:hAnsi="宋体" w:eastAsia="宋体" w:cs="宋体"/>
          <w:sz w:val="32"/>
          <w:szCs w:val="21"/>
        </w:rPr>
        <w:t>二、法定代表人身份证明书</w:t>
      </w:r>
      <w:bookmarkEnd w:id="63"/>
      <w:bookmarkEnd w:id="64"/>
      <w:bookmarkEnd w:id="65"/>
      <w:bookmarkEnd w:id="66"/>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13"/>
        <w:rPr>
          <w:rFonts w:ascii="宋体" w:cs="宋体"/>
        </w:rPr>
      </w:pPr>
    </w:p>
    <w:p>
      <w:pPr>
        <w:pStyle w:val="13"/>
        <w:rPr>
          <w:rFonts w:ascii="宋体" w:cs="宋体"/>
        </w:rPr>
      </w:pPr>
    </w:p>
    <w:p>
      <w:pPr>
        <w:pStyle w:val="13"/>
        <w:rPr>
          <w:rFonts w:ascii="宋体" w:cs="宋体"/>
        </w:rPr>
      </w:pPr>
    </w:p>
    <w:p>
      <w:pPr>
        <w:pStyle w:val="8"/>
        <w:numPr>
          <w:ilvl w:val="0"/>
          <w:numId w:val="0"/>
        </w:numPr>
        <w:ind w:left="360"/>
        <w:rPr>
          <w:rFonts w:ascii="宋体" w:hAnsi="宋体" w:eastAsia="宋体" w:cs="宋体"/>
          <w:b w:val="0"/>
          <w:sz w:val="28"/>
          <w:szCs w:val="28"/>
        </w:rPr>
      </w:pPr>
    </w:p>
    <w:p/>
    <w:p>
      <w:pPr>
        <w:rPr>
          <w:rFonts w:ascii="宋体" w:cs="宋体"/>
          <w:b/>
          <w:sz w:val="28"/>
          <w:szCs w:val="28"/>
        </w:rPr>
      </w:pPr>
    </w:p>
    <w:p>
      <w:pPr>
        <w:pStyle w:val="13"/>
        <w:rPr>
          <w:rFonts w:ascii="宋体" w:cs="宋体"/>
          <w:b/>
          <w:sz w:val="28"/>
          <w:szCs w:val="28"/>
        </w:rPr>
      </w:pPr>
    </w:p>
    <w:p>
      <w:pPr>
        <w:pStyle w:val="8"/>
        <w:numPr>
          <w:ilvl w:val="0"/>
          <w:numId w:val="0"/>
        </w:numPr>
        <w:ind w:left="360"/>
        <w:rPr>
          <w:rFonts w:ascii="宋体" w:hAnsi="宋体" w:eastAsia="宋体" w:cs="宋体"/>
          <w:bCs/>
          <w:sz w:val="32"/>
          <w:szCs w:val="32"/>
        </w:rPr>
      </w:pPr>
      <w:bookmarkStart w:id="68" w:name="_Toc4030_WPSOffice_Level1"/>
      <w:bookmarkStart w:id="69" w:name="_Toc10540"/>
      <w:bookmarkStart w:id="70" w:name="_Toc16168_WPSOffice_Level1"/>
      <w:bookmarkStart w:id="71" w:name="_Toc22501_WPSOffice_Level1"/>
      <w:r>
        <w:rPr>
          <w:rFonts w:hint="eastAsia" w:ascii="宋体" w:hAnsi="宋体" w:eastAsia="宋体" w:cs="宋体"/>
          <w:bCs/>
          <w:sz w:val="32"/>
          <w:szCs w:val="32"/>
        </w:rPr>
        <w:t>三、法定代表人授权委托书</w:t>
      </w:r>
      <w:bookmarkEnd w:id="67"/>
      <w:bookmarkEnd w:id="68"/>
      <w:bookmarkEnd w:id="69"/>
      <w:bookmarkEnd w:id="70"/>
      <w:bookmarkEnd w:id="71"/>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13"/>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spacing w:line="400" w:lineRule="exact"/>
        <w:rPr>
          <w:rFonts w:ascii="宋体" w:cs="宋体"/>
          <w:color w:val="000000"/>
          <w:kern w:val="0"/>
          <w:sz w:val="24"/>
        </w:rPr>
      </w:pPr>
    </w:p>
    <w:p>
      <w:pPr>
        <w:pStyle w:val="8"/>
        <w:numPr>
          <w:ilvl w:val="0"/>
          <w:numId w:val="0"/>
        </w:numPr>
        <w:ind w:left="360"/>
        <w:rPr>
          <w:rFonts w:ascii="宋体" w:hAnsi="宋体" w:eastAsia="宋体" w:cs="宋体"/>
          <w:bCs/>
          <w:sz w:val="32"/>
          <w:szCs w:val="32"/>
        </w:rPr>
      </w:pPr>
      <w:bookmarkStart w:id="72" w:name="_Toc20500_WPSOffice_Level1"/>
      <w:bookmarkStart w:id="73" w:name="_Toc19485_WPSOffice_Level1"/>
      <w:bookmarkStart w:id="74" w:name="_Toc22140"/>
      <w:bookmarkStart w:id="75" w:name="_Toc328404525"/>
      <w:bookmarkStart w:id="76" w:name="_Toc30637"/>
      <w:bookmarkStart w:id="77" w:name="_Toc324146764"/>
      <w:bookmarkStart w:id="78" w:name="_Toc12752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2"/>
      <w:bookmarkEnd w:id="73"/>
      <w:bookmarkEnd w:id="74"/>
      <w:bookmarkEnd w:id="75"/>
      <w:bookmarkEnd w:id="76"/>
      <w:bookmarkEnd w:id="77"/>
      <w:bookmarkEnd w:id="78"/>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2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8"/>
        <w:numPr>
          <w:ilvl w:val="0"/>
          <w:numId w:val="0"/>
        </w:numPr>
        <w:ind w:left="360"/>
        <w:rPr>
          <w:rFonts w:ascii="宋体" w:hAnsi="宋体" w:eastAsia="宋体" w:cs="宋体"/>
          <w:bCs/>
          <w:sz w:val="32"/>
          <w:szCs w:val="32"/>
        </w:rPr>
      </w:pPr>
      <w:bookmarkStart w:id="79" w:name="_Toc7697"/>
      <w:bookmarkStart w:id="80" w:name="_Toc7648_WPSOffice_Level1"/>
      <w:bookmarkStart w:id="81" w:name="_Toc9612_WPSOffice_Level1"/>
      <w:bookmarkStart w:id="82" w:name="_Toc7724_WPSOffice_Level1"/>
      <w:bookmarkStart w:id="83" w:name="_Toc23261"/>
      <w:r>
        <w:rPr>
          <w:rFonts w:hint="eastAsia" w:ascii="宋体" w:hAnsi="宋体" w:eastAsia="宋体" w:cs="宋体"/>
          <w:bCs/>
          <w:sz w:val="32"/>
          <w:szCs w:val="32"/>
        </w:rPr>
        <w:t>五、报价明细表</w:t>
      </w:r>
      <w:bookmarkEnd w:id="79"/>
      <w:bookmarkEnd w:id="80"/>
      <w:bookmarkEnd w:id="81"/>
      <w:bookmarkEnd w:id="82"/>
      <w:bookmarkEnd w:id="83"/>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20"/>
        <w:rPr>
          <w:rFonts w:ascii="宋体" w:cs="宋体"/>
          <w:b/>
          <w:color w:val="FF0000"/>
          <w:szCs w:val="21"/>
        </w:rPr>
      </w:pPr>
    </w:p>
    <w:p>
      <w:pPr>
        <w:rPr>
          <w:rFonts w:ascii="宋体" w:cs="宋体"/>
          <w:b/>
          <w:color w:val="FF0000"/>
          <w:szCs w:val="21"/>
        </w:rPr>
      </w:pPr>
    </w:p>
    <w:p>
      <w:pPr>
        <w:pStyle w:val="20"/>
        <w:rPr>
          <w:rFonts w:ascii="宋体" w:cs="宋体"/>
          <w:b/>
          <w:color w:val="FF0000"/>
          <w:szCs w:val="21"/>
        </w:rPr>
      </w:pPr>
    </w:p>
    <w:p>
      <w:pPr>
        <w:pStyle w:val="8"/>
        <w:numPr>
          <w:ilvl w:val="0"/>
          <w:numId w:val="0"/>
        </w:numPr>
        <w:ind w:left="360"/>
        <w:rPr>
          <w:rFonts w:ascii="宋体" w:hAnsi="宋体" w:eastAsia="宋体" w:cs="宋体"/>
          <w:bCs/>
          <w:sz w:val="32"/>
          <w:szCs w:val="32"/>
          <w:highlight w:val="yellow"/>
        </w:rPr>
      </w:pPr>
      <w:bookmarkStart w:id="84" w:name="_Toc24464"/>
      <w:bookmarkStart w:id="85" w:name="_Toc15228_WPSOffice_Level1"/>
      <w:bookmarkStart w:id="86" w:name="_Toc27246_WPSOffice_Level1"/>
      <w:bookmarkStart w:id="87" w:name="_Toc19779_WPSOffice_Level1"/>
      <w:bookmarkStart w:id="88" w:name="_Toc24800"/>
      <w:r>
        <w:rPr>
          <w:rFonts w:hint="eastAsia" w:ascii="宋体" w:hAnsi="宋体" w:eastAsia="宋体" w:cs="宋体"/>
          <w:bCs/>
          <w:sz w:val="32"/>
          <w:szCs w:val="32"/>
          <w:highlight w:val="none"/>
        </w:rPr>
        <w:t>六、技术规格偏离表</w:t>
      </w:r>
      <w:bookmarkEnd w:id="84"/>
      <w:bookmarkEnd w:id="85"/>
      <w:bookmarkEnd w:id="86"/>
      <w:bookmarkEnd w:id="87"/>
      <w:bookmarkEnd w:id="88"/>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8"/>
        <w:numPr>
          <w:ilvl w:val="0"/>
          <w:numId w:val="0"/>
        </w:numPr>
        <w:ind w:left="360"/>
        <w:rPr>
          <w:rFonts w:ascii="宋体" w:hAnsi="宋体" w:eastAsia="宋体" w:cs="宋体"/>
          <w:bCs/>
          <w:sz w:val="32"/>
          <w:szCs w:val="32"/>
        </w:rPr>
      </w:pPr>
      <w:bookmarkStart w:id="89" w:name="_Toc320_WPSOffice_Level1"/>
      <w:bookmarkStart w:id="90" w:name="_Toc29556"/>
      <w:bookmarkStart w:id="91" w:name="_Toc5604"/>
      <w:bookmarkStart w:id="92" w:name="_Toc28207_WPSOffice_Level1"/>
      <w:bookmarkStart w:id="93" w:name="_Toc29106_WPSOffice_Level1"/>
      <w:r>
        <w:rPr>
          <w:rFonts w:hint="eastAsia" w:ascii="宋体" w:hAnsi="宋体" w:eastAsia="宋体" w:cs="宋体"/>
          <w:bCs/>
          <w:sz w:val="32"/>
          <w:szCs w:val="32"/>
        </w:rPr>
        <w:t>七、营业执照副本及相关资格证明文件</w:t>
      </w:r>
      <w:bookmarkEnd w:id="89"/>
      <w:bookmarkEnd w:id="90"/>
      <w:bookmarkEnd w:id="91"/>
      <w:bookmarkEnd w:id="92"/>
      <w:bookmarkEnd w:id="93"/>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8"/>
        <w:numPr>
          <w:ilvl w:val="0"/>
          <w:numId w:val="0"/>
        </w:numPr>
        <w:ind w:firstLine="321" w:firstLineChars="100"/>
        <w:jc w:val="center"/>
        <w:rPr>
          <w:rFonts w:ascii="宋体" w:hAnsi="宋体" w:eastAsia="宋体" w:cs="宋体"/>
          <w:bCs/>
          <w:sz w:val="32"/>
          <w:szCs w:val="32"/>
        </w:rPr>
      </w:pPr>
      <w:bookmarkStart w:id="94" w:name="_Toc3108"/>
      <w:bookmarkStart w:id="95" w:name="_Toc30622_WPSOffice_Level1"/>
      <w:bookmarkStart w:id="96" w:name="_Toc4573_WPSOffice_Level1"/>
      <w:bookmarkStart w:id="97" w:name="_Toc20042_WPSOffice_Level1"/>
      <w:bookmarkStart w:id="98" w:name="_Toc30669"/>
      <w:bookmarkStart w:id="99" w:name="_Toc29670"/>
      <w:r>
        <w:rPr>
          <w:rFonts w:hint="eastAsia" w:ascii="宋体" w:hAnsi="宋体" w:eastAsia="宋体" w:cs="宋体"/>
          <w:bCs/>
          <w:sz w:val="32"/>
          <w:szCs w:val="32"/>
        </w:rPr>
        <w:t>八、</w:t>
      </w:r>
      <w:r>
        <w:rPr>
          <w:rFonts w:ascii="宋体" w:hAnsi="宋体" w:eastAsia="宋体" w:cs="宋体"/>
          <w:bCs/>
          <w:sz w:val="32"/>
          <w:szCs w:val="32"/>
        </w:rPr>
        <w:t xml:space="preserve"> </w:t>
      </w:r>
      <w:bookmarkEnd w:id="94"/>
      <w:r>
        <w:rPr>
          <w:rFonts w:hint="eastAsia" w:ascii="宋体" w:hAnsi="宋体" w:eastAsia="宋体" w:cs="宋体"/>
          <w:bCs/>
          <w:sz w:val="32"/>
          <w:szCs w:val="32"/>
        </w:rPr>
        <w:t>企业基本开户许可证</w:t>
      </w:r>
      <w:bookmarkEnd w:id="95"/>
      <w:bookmarkEnd w:id="96"/>
      <w:bookmarkEnd w:id="97"/>
      <w:bookmarkEnd w:id="98"/>
      <w:bookmarkEnd w:id="99"/>
    </w:p>
    <w:p>
      <w:pPr>
        <w:pStyle w:val="11"/>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8"/>
        <w:numPr>
          <w:ilvl w:val="0"/>
          <w:numId w:val="0"/>
        </w:numPr>
        <w:ind w:left="-60"/>
        <w:rPr>
          <w:rFonts w:ascii="宋体" w:hAnsi="宋体" w:eastAsia="宋体" w:cs="宋体"/>
          <w:bCs/>
          <w:sz w:val="32"/>
          <w:szCs w:val="32"/>
        </w:rPr>
      </w:pPr>
      <w:bookmarkStart w:id="100" w:name="_Toc3285"/>
      <w:bookmarkStart w:id="101" w:name="_Toc11893"/>
      <w:bookmarkStart w:id="102" w:name="_Toc31334_WPSOffice_Level1"/>
      <w:bookmarkStart w:id="103" w:name="_Toc24027_WPSOffice_Level1"/>
      <w:bookmarkStart w:id="104" w:name="_Toc8304_WPSOffice_Level1"/>
      <w:r>
        <w:rPr>
          <w:rFonts w:hint="eastAsia" w:ascii="宋体" w:hAnsi="宋体" w:eastAsia="宋体" w:cs="宋体"/>
          <w:bCs/>
          <w:sz w:val="32"/>
          <w:szCs w:val="32"/>
        </w:rPr>
        <w:t>九、服务承诺及无不良承诺</w:t>
      </w:r>
      <w:bookmarkEnd w:id="100"/>
      <w:bookmarkEnd w:id="101"/>
      <w:bookmarkEnd w:id="102"/>
      <w:bookmarkEnd w:id="103"/>
      <w:bookmarkEnd w:id="104"/>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11"/>
        <w:rPr>
          <w:rFonts w:ascii="宋体" w:cs="宋体"/>
        </w:rPr>
      </w:pPr>
    </w:p>
    <w:p>
      <w:pPr>
        <w:pStyle w:val="11"/>
        <w:rPr>
          <w:rFonts w:ascii="宋体" w:cs="宋体"/>
        </w:rPr>
      </w:pPr>
    </w:p>
    <w:p>
      <w:pPr>
        <w:pStyle w:val="11"/>
        <w:rPr>
          <w:rFonts w:ascii="宋体" w:cs="宋体"/>
        </w:rPr>
      </w:pPr>
    </w:p>
    <w:p>
      <w:pPr>
        <w:pStyle w:val="11"/>
        <w:ind w:firstLine="0" w:firstLineChars="0"/>
        <w:rPr>
          <w:rFonts w:ascii="宋体" w:cs="宋体"/>
        </w:rPr>
      </w:pPr>
    </w:p>
    <w:p>
      <w:pPr>
        <w:pStyle w:val="11"/>
        <w:rPr>
          <w:rFonts w:ascii="宋体" w:cs="宋体"/>
        </w:rPr>
      </w:pPr>
    </w:p>
    <w:p>
      <w:pPr>
        <w:pStyle w:val="11"/>
        <w:rPr>
          <w:rFonts w:ascii="宋体" w:cs="宋体"/>
        </w:rPr>
      </w:pPr>
    </w:p>
    <w:p>
      <w:pPr>
        <w:pStyle w:val="8"/>
        <w:numPr>
          <w:ilvl w:val="0"/>
          <w:numId w:val="0"/>
        </w:numPr>
        <w:ind w:left="-60"/>
        <w:rPr>
          <w:rFonts w:ascii="宋体" w:hAnsi="宋体" w:eastAsia="宋体" w:cs="宋体"/>
          <w:sz w:val="32"/>
          <w:szCs w:val="32"/>
        </w:rPr>
      </w:pPr>
      <w:bookmarkStart w:id="105" w:name="_Toc24009"/>
      <w:bookmarkStart w:id="106" w:name="_Toc15701_WPSOffice_Level1"/>
      <w:bookmarkStart w:id="107" w:name="_Toc16657_WPSOffice_Level1"/>
      <w:bookmarkStart w:id="108" w:name="_Toc30221_WPSOffice_Level1"/>
      <w:r>
        <w:rPr>
          <w:rFonts w:hint="eastAsia" w:ascii="宋体" w:hAnsi="宋体" w:eastAsia="宋体" w:cs="宋体"/>
          <w:sz w:val="32"/>
          <w:szCs w:val="32"/>
        </w:rPr>
        <w:t>十、其它资料</w:t>
      </w:r>
      <w:bookmarkEnd w:id="105"/>
      <w:bookmarkEnd w:id="106"/>
      <w:bookmarkEnd w:id="107"/>
      <w:bookmarkEnd w:id="108"/>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09" w:name="_Toc17421_WPSOffice_Level1"/>
      <w:bookmarkStart w:id="110" w:name="_Toc16614_WPSOffice_Level1"/>
      <w:bookmarkStart w:id="111" w:name="_Toc25906_WPSOffice_Level2"/>
      <w:r>
        <w:rPr>
          <w:rFonts w:hint="eastAsia" w:ascii="宋体" w:hAnsi="宋体" w:cs="宋体"/>
          <w:color w:val="000000"/>
          <w:sz w:val="24"/>
        </w:rPr>
        <w:t>文件要求的或响应人认为有必要附加的其它材料（格式自拟）</w:t>
      </w:r>
      <w:bookmarkEnd w:id="109"/>
      <w:bookmarkEnd w:id="110"/>
      <w:bookmarkEnd w:id="111"/>
      <w:r>
        <w:rPr>
          <w:rFonts w:hint="eastAsia" w:ascii="宋体" w:hAnsi="宋体" w:cs="宋体"/>
          <w:bCs/>
          <w:sz w:val="24"/>
        </w:rPr>
        <w:t>。</w:t>
      </w:r>
    </w:p>
    <w:p>
      <w:pPr>
        <w:pStyle w:val="12"/>
        <w:jc w:val="center"/>
        <w:rPr>
          <w:rFonts w:ascii="宋体" w:cs="宋体"/>
          <w:szCs w:val="21"/>
        </w:rPr>
      </w:pPr>
    </w:p>
    <w:p>
      <w:pPr>
        <w:pStyle w:val="8"/>
        <w:numPr>
          <w:ilvl w:val="0"/>
          <w:numId w:val="0"/>
        </w:numPr>
        <w:jc w:val="both"/>
        <w:rPr>
          <w:rFonts w:ascii="宋体" w:hAnsi="宋体" w:eastAsia="宋体" w:cs="宋体"/>
          <w:szCs w:val="24"/>
        </w:rPr>
      </w:pPr>
    </w:p>
    <w:p>
      <w:pPr>
        <w:pStyle w:val="11"/>
        <w:ind w:firstLine="562"/>
        <w:rPr>
          <w:rFonts w:ascii="宋体" w:cs="宋体"/>
          <w:b/>
          <w:sz w:val="28"/>
          <w:szCs w:val="28"/>
        </w:rPr>
      </w:pPr>
    </w:p>
    <w:p>
      <w:pPr>
        <w:pStyle w:val="11"/>
        <w:ind w:firstLine="562"/>
        <w:rPr>
          <w:rFonts w:ascii="宋体" w:cs="宋体"/>
          <w:b/>
          <w:sz w:val="28"/>
          <w:szCs w:val="28"/>
        </w:rPr>
      </w:pPr>
    </w:p>
    <w:p>
      <w:pPr>
        <w:pStyle w:val="11"/>
        <w:ind w:firstLine="562"/>
        <w:rPr>
          <w:rFonts w:ascii="宋体" w:cs="宋体"/>
          <w:b/>
          <w:sz w:val="28"/>
          <w:szCs w:val="28"/>
        </w:rPr>
      </w:pPr>
    </w:p>
    <w:p>
      <w:pPr>
        <w:pStyle w:val="11"/>
        <w:rPr>
          <w:rFonts w:ascii="宋体" w:cs="宋体"/>
        </w:rPr>
      </w:pPr>
    </w:p>
    <w:p>
      <w:pPr>
        <w:pStyle w:val="8"/>
        <w:numPr>
          <w:ilvl w:val="0"/>
          <w:numId w:val="0"/>
        </w:numPr>
        <w:rPr>
          <w:rFonts w:ascii="宋体" w:hAnsi="宋体" w:eastAsia="宋体" w:cs="宋体"/>
          <w:bCs/>
          <w:sz w:val="32"/>
          <w:szCs w:val="32"/>
        </w:rPr>
      </w:pPr>
      <w:bookmarkStart w:id="112" w:name="_Toc15032"/>
      <w:bookmarkStart w:id="113" w:name="_Toc14306_WPSOffice_Level1"/>
      <w:bookmarkStart w:id="114" w:name="_Toc22008"/>
      <w:bookmarkStart w:id="115" w:name="_Toc3728_WPSOffice_Level1"/>
      <w:bookmarkStart w:id="116" w:name="_Toc6134_WPSOffice_Level1"/>
      <w:r>
        <w:rPr>
          <w:rFonts w:hint="eastAsia" w:ascii="宋体" w:hAnsi="宋体" w:eastAsia="宋体" w:cs="宋体"/>
          <w:bCs/>
          <w:sz w:val="32"/>
          <w:szCs w:val="32"/>
        </w:rPr>
        <w:t>十一、封面及封口（格式）</w:t>
      </w:r>
      <w:bookmarkEnd w:id="112"/>
      <w:bookmarkEnd w:id="113"/>
      <w:bookmarkEnd w:id="114"/>
      <w:bookmarkEnd w:id="115"/>
      <w:bookmarkEnd w:id="116"/>
    </w:p>
    <w:p>
      <w:pPr>
        <w:spacing w:line="400" w:lineRule="exact"/>
        <w:rPr>
          <w:rFonts w:ascii="宋体" w:cs="宋体"/>
          <w:color w:val="000000"/>
          <w:kern w:val="0"/>
          <w:sz w:val="24"/>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8"/>
        <w:numPr>
          <w:ilvl w:val="0"/>
          <w:numId w:val="0"/>
        </w:numPr>
        <w:ind w:left="360"/>
        <w:rPr>
          <w:rFonts w:ascii="宋体" w:hAnsi="宋体" w:eastAsia="宋体" w:cs="宋体"/>
          <w:b w:val="0"/>
        </w:rPr>
      </w:pPr>
      <w:bookmarkStart w:id="117" w:name="_Toc15213"/>
      <w:bookmarkStart w:id="118" w:name="_Toc20128_WPSOffice_Level1"/>
      <w:r>
        <w:rPr>
          <w:rFonts w:hint="eastAsia" w:ascii="宋体" w:hAnsi="宋体" w:eastAsia="宋体" w:cs="宋体"/>
          <w:b w:val="0"/>
        </w:rPr>
        <w:t>封口（格式）</w:t>
      </w:r>
      <w:bookmarkEnd w:id="117"/>
      <w:bookmarkEnd w:id="118"/>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2">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8"/>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7">
    <w:nsid w:val="6E8D0245"/>
    <w:multiLevelType w:val="singleLevel"/>
    <w:tmpl w:val="6E8D0245"/>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WQ5ZTBhZTkwMGMxYjkwN2MwOTc0MWE2NzIzNWYifQ=="/>
  </w:docVars>
  <w:rsids>
    <w:rsidRoot w:val="602A430C"/>
    <w:rsid w:val="001F3ADA"/>
    <w:rsid w:val="003F45ED"/>
    <w:rsid w:val="00E53C0C"/>
    <w:rsid w:val="01FB0577"/>
    <w:rsid w:val="038A1BB2"/>
    <w:rsid w:val="038F71C9"/>
    <w:rsid w:val="03C47193"/>
    <w:rsid w:val="04D4226C"/>
    <w:rsid w:val="054242A8"/>
    <w:rsid w:val="060F6C74"/>
    <w:rsid w:val="06493D64"/>
    <w:rsid w:val="06B377CF"/>
    <w:rsid w:val="06E52DB2"/>
    <w:rsid w:val="07007F1F"/>
    <w:rsid w:val="07DE12A2"/>
    <w:rsid w:val="081F329C"/>
    <w:rsid w:val="089B03BE"/>
    <w:rsid w:val="08D9601A"/>
    <w:rsid w:val="094B3B92"/>
    <w:rsid w:val="09DD3311"/>
    <w:rsid w:val="0A1B4471"/>
    <w:rsid w:val="0A436513"/>
    <w:rsid w:val="0A7333A0"/>
    <w:rsid w:val="0A795872"/>
    <w:rsid w:val="0A81073B"/>
    <w:rsid w:val="0AD85975"/>
    <w:rsid w:val="0B1D50BA"/>
    <w:rsid w:val="0B3D14DE"/>
    <w:rsid w:val="0B754EF6"/>
    <w:rsid w:val="0BE75A45"/>
    <w:rsid w:val="0C124312"/>
    <w:rsid w:val="0C9071BD"/>
    <w:rsid w:val="0CAE7700"/>
    <w:rsid w:val="0D647B27"/>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5C076B6"/>
    <w:rsid w:val="16053529"/>
    <w:rsid w:val="16D84DFC"/>
    <w:rsid w:val="16E5330C"/>
    <w:rsid w:val="1791399C"/>
    <w:rsid w:val="182B52BA"/>
    <w:rsid w:val="18486B16"/>
    <w:rsid w:val="1883393D"/>
    <w:rsid w:val="18BA663E"/>
    <w:rsid w:val="18C748F7"/>
    <w:rsid w:val="18D05E62"/>
    <w:rsid w:val="19817830"/>
    <w:rsid w:val="1A0A380A"/>
    <w:rsid w:val="1A9663DC"/>
    <w:rsid w:val="1B0C3297"/>
    <w:rsid w:val="1B422FE1"/>
    <w:rsid w:val="1B4249CC"/>
    <w:rsid w:val="1B8E5B9F"/>
    <w:rsid w:val="1BD54CF1"/>
    <w:rsid w:val="1BFB0A01"/>
    <w:rsid w:val="1BFB193C"/>
    <w:rsid w:val="1C5648D0"/>
    <w:rsid w:val="1C61646F"/>
    <w:rsid w:val="1D0600A4"/>
    <w:rsid w:val="1DF52CDF"/>
    <w:rsid w:val="1DF75C3F"/>
    <w:rsid w:val="1F05716C"/>
    <w:rsid w:val="1F363363"/>
    <w:rsid w:val="1F8E7956"/>
    <w:rsid w:val="1F944E0D"/>
    <w:rsid w:val="200E0B40"/>
    <w:rsid w:val="20254A8C"/>
    <w:rsid w:val="206C2914"/>
    <w:rsid w:val="21500171"/>
    <w:rsid w:val="21570660"/>
    <w:rsid w:val="221766AC"/>
    <w:rsid w:val="224C3277"/>
    <w:rsid w:val="226938DA"/>
    <w:rsid w:val="227A7A27"/>
    <w:rsid w:val="229F6611"/>
    <w:rsid w:val="236736AB"/>
    <w:rsid w:val="2387165C"/>
    <w:rsid w:val="23C212D7"/>
    <w:rsid w:val="242B219E"/>
    <w:rsid w:val="24617AF9"/>
    <w:rsid w:val="24B76702"/>
    <w:rsid w:val="2510704E"/>
    <w:rsid w:val="25A34061"/>
    <w:rsid w:val="25E81A09"/>
    <w:rsid w:val="265A4DDB"/>
    <w:rsid w:val="27432C8C"/>
    <w:rsid w:val="277F19DF"/>
    <w:rsid w:val="27865011"/>
    <w:rsid w:val="27DB4A5F"/>
    <w:rsid w:val="290131FF"/>
    <w:rsid w:val="29850D38"/>
    <w:rsid w:val="29D46CE9"/>
    <w:rsid w:val="2A3F1027"/>
    <w:rsid w:val="2B355B59"/>
    <w:rsid w:val="2BC22A01"/>
    <w:rsid w:val="2BC95A0E"/>
    <w:rsid w:val="2BF612E4"/>
    <w:rsid w:val="2C1A379C"/>
    <w:rsid w:val="2C326F15"/>
    <w:rsid w:val="2D294102"/>
    <w:rsid w:val="2D5409B8"/>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9A790F"/>
    <w:rsid w:val="3806567E"/>
    <w:rsid w:val="38B31610"/>
    <w:rsid w:val="38D47E8B"/>
    <w:rsid w:val="399228A0"/>
    <w:rsid w:val="3A5E5B9B"/>
    <w:rsid w:val="3A983BF9"/>
    <w:rsid w:val="3ACB4188"/>
    <w:rsid w:val="3AEB5C9A"/>
    <w:rsid w:val="3C73788C"/>
    <w:rsid w:val="3D241DF2"/>
    <w:rsid w:val="3D2D4B89"/>
    <w:rsid w:val="3D386A23"/>
    <w:rsid w:val="3E7F6C37"/>
    <w:rsid w:val="3F746C97"/>
    <w:rsid w:val="3FBE450C"/>
    <w:rsid w:val="401468F3"/>
    <w:rsid w:val="408B07A4"/>
    <w:rsid w:val="41BE623A"/>
    <w:rsid w:val="42266974"/>
    <w:rsid w:val="42335E05"/>
    <w:rsid w:val="4235566D"/>
    <w:rsid w:val="428E2D9B"/>
    <w:rsid w:val="429A6A15"/>
    <w:rsid w:val="42B85EE7"/>
    <w:rsid w:val="42C66C52"/>
    <w:rsid w:val="42D75573"/>
    <w:rsid w:val="43B32AF0"/>
    <w:rsid w:val="43FF1225"/>
    <w:rsid w:val="44244B46"/>
    <w:rsid w:val="446C38D9"/>
    <w:rsid w:val="44CD30D2"/>
    <w:rsid w:val="44E34CDA"/>
    <w:rsid w:val="45B22FA3"/>
    <w:rsid w:val="4628134D"/>
    <w:rsid w:val="46680835"/>
    <w:rsid w:val="46B51942"/>
    <w:rsid w:val="46B95E25"/>
    <w:rsid w:val="47086643"/>
    <w:rsid w:val="4820623A"/>
    <w:rsid w:val="48895FFF"/>
    <w:rsid w:val="48E629B4"/>
    <w:rsid w:val="493C59E8"/>
    <w:rsid w:val="4A1D4AB1"/>
    <w:rsid w:val="4A510D87"/>
    <w:rsid w:val="4A9F32A1"/>
    <w:rsid w:val="4AB241D2"/>
    <w:rsid w:val="4AF74DF7"/>
    <w:rsid w:val="4AF9213A"/>
    <w:rsid w:val="4B3C1350"/>
    <w:rsid w:val="4BC10BD7"/>
    <w:rsid w:val="4C120DF4"/>
    <w:rsid w:val="4C2D4456"/>
    <w:rsid w:val="4CD76E03"/>
    <w:rsid w:val="4DF94200"/>
    <w:rsid w:val="4E0829FD"/>
    <w:rsid w:val="4E523FD4"/>
    <w:rsid w:val="4E7F0430"/>
    <w:rsid w:val="4EEA51C7"/>
    <w:rsid w:val="50822C4A"/>
    <w:rsid w:val="50E6613C"/>
    <w:rsid w:val="5135247A"/>
    <w:rsid w:val="51495249"/>
    <w:rsid w:val="51805C6D"/>
    <w:rsid w:val="51907D9D"/>
    <w:rsid w:val="523629F3"/>
    <w:rsid w:val="523A7C7F"/>
    <w:rsid w:val="52723B03"/>
    <w:rsid w:val="52B2698F"/>
    <w:rsid w:val="52CD379D"/>
    <w:rsid w:val="52DE64AA"/>
    <w:rsid w:val="52E361B6"/>
    <w:rsid w:val="544B6553"/>
    <w:rsid w:val="54CA58C3"/>
    <w:rsid w:val="56011488"/>
    <w:rsid w:val="562650BE"/>
    <w:rsid w:val="56DC0211"/>
    <w:rsid w:val="57407CD8"/>
    <w:rsid w:val="576C677A"/>
    <w:rsid w:val="57794B78"/>
    <w:rsid w:val="578E4D97"/>
    <w:rsid w:val="57CC5C5D"/>
    <w:rsid w:val="58056CB5"/>
    <w:rsid w:val="584E1F2D"/>
    <w:rsid w:val="586C14C6"/>
    <w:rsid w:val="594171CF"/>
    <w:rsid w:val="595B0C26"/>
    <w:rsid w:val="596F1178"/>
    <w:rsid w:val="59DF4DD3"/>
    <w:rsid w:val="5B57504B"/>
    <w:rsid w:val="5C6A7000"/>
    <w:rsid w:val="5D5E7A84"/>
    <w:rsid w:val="5D7874FB"/>
    <w:rsid w:val="5D8565EA"/>
    <w:rsid w:val="5E077C9A"/>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A2A0D2C"/>
    <w:rsid w:val="6AFA6B21"/>
    <w:rsid w:val="6B772824"/>
    <w:rsid w:val="6BCE7920"/>
    <w:rsid w:val="6CD65AC9"/>
    <w:rsid w:val="6CFF5E9F"/>
    <w:rsid w:val="6E835D22"/>
    <w:rsid w:val="6EFF5CCE"/>
    <w:rsid w:val="6F50203D"/>
    <w:rsid w:val="6F581680"/>
    <w:rsid w:val="6F605CFB"/>
    <w:rsid w:val="701337DF"/>
    <w:rsid w:val="7036663E"/>
    <w:rsid w:val="70475169"/>
    <w:rsid w:val="70A96C4F"/>
    <w:rsid w:val="70AC256F"/>
    <w:rsid w:val="70CA6A15"/>
    <w:rsid w:val="71284D61"/>
    <w:rsid w:val="714D0F73"/>
    <w:rsid w:val="71576075"/>
    <w:rsid w:val="71755DD4"/>
    <w:rsid w:val="72A6716D"/>
    <w:rsid w:val="73172D0B"/>
    <w:rsid w:val="734107FD"/>
    <w:rsid w:val="7406787D"/>
    <w:rsid w:val="745579FC"/>
    <w:rsid w:val="75110166"/>
    <w:rsid w:val="7587570D"/>
    <w:rsid w:val="769F2A2C"/>
    <w:rsid w:val="76D6536B"/>
    <w:rsid w:val="77505319"/>
    <w:rsid w:val="77D546E0"/>
    <w:rsid w:val="77E10AD6"/>
    <w:rsid w:val="77E67A2B"/>
    <w:rsid w:val="780C6FB4"/>
    <w:rsid w:val="780D1AF8"/>
    <w:rsid w:val="78386A1D"/>
    <w:rsid w:val="783D7C44"/>
    <w:rsid w:val="788678AE"/>
    <w:rsid w:val="78911745"/>
    <w:rsid w:val="78A55AFE"/>
    <w:rsid w:val="78B10039"/>
    <w:rsid w:val="79202170"/>
    <w:rsid w:val="79786DA9"/>
    <w:rsid w:val="7A1E40E5"/>
    <w:rsid w:val="7A5524F5"/>
    <w:rsid w:val="7A6F3D08"/>
    <w:rsid w:val="7AC72BFB"/>
    <w:rsid w:val="7AD63C56"/>
    <w:rsid w:val="7B5E6D03"/>
    <w:rsid w:val="7B8E564A"/>
    <w:rsid w:val="7BA56A85"/>
    <w:rsid w:val="7C8B56BC"/>
    <w:rsid w:val="7D636026"/>
    <w:rsid w:val="7D770938"/>
    <w:rsid w:val="7D982EB6"/>
    <w:rsid w:val="7DA12A60"/>
    <w:rsid w:val="7DFA4F7E"/>
    <w:rsid w:val="7E2E74F4"/>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9">
    <w:name w:val="heading 4"/>
    <w:basedOn w:val="1"/>
    <w:next w:val="1"/>
    <w:qFormat/>
    <w:uiPriority w:val="0"/>
    <w:pPr>
      <w:keepNext/>
      <w:keepLines/>
      <w:spacing w:before="280" w:after="290" w:line="376" w:lineRule="auto"/>
      <w:outlineLvl w:val="3"/>
    </w:pPr>
    <w:rPr>
      <w:b/>
      <w:sz w:val="28"/>
      <w:szCs w:val="20"/>
    </w:rPr>
  </w:style>
  <w:style w:type="paragraph" w:styleId="10">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rPr>
  </w:style>
  <w:style w:type="paragraph" w:styleId="4">
    <w:name w:val="Body Text First Indent 2"/>
    <w:basedOn w:val="5"/>
    <w:next w:val="1"/>
    <w:unhideWhenUsed/>
    <w:qFormat/>
    <w:uiPriority w:val="99"/>
    <w:pPr>
      <w:ind w:firstLine="420" w:firstLineChars="200"/>
    </w:pPr>
    <w:rPr>
      <w:rFonts w:ascii="Calibri" w:hAnsi="Calibri"/>
      <w:sz w:val="28"/>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rPr>
      <w:rFonts w:ascii="Arial" w:hAnsi="Arial"/>
    </w:rPr>
  </w:style>
  <w:style w:type="paragraph" w:styleId="11">
    <w:name w:val="Normal Indent"/>
    <w:basedOn w:val="1"/>
    <w:qFormat/>
    <w:uiPriority w:val="0"/>
    <w:pPr>
      <w:ind w:firstLine="420" w:firstLineChars="200"/>
    </w:pPr>
  </w:style>
  <w:style w:type="paragraph" w:styleId="12">
    <w:name w:val="annotation text"/>
    <w:basedOn w:val="1"/>
    <w:semiHidden/>
    <w:qFormat/>
    <w:uiPriority w:val="0"/>
    <w:pPr>
      <w:jc w:val="left"/>
    </w:pPr>
  </w:style>
  <w:style w:type="paragraph" w:styleId="13">
    <w:name w:val="Body Text"/>
    <w:basedOn w:val="1"/>
    <w:next w:val="14"/>
    <w:qFormat/>
    <w:uiPriority w:val="0"/>
    <w:pPr>
      <w:spacing w:after="120"/>
    </w:pPr>
  </w:style>
  <w:style w:type="paragraph" w:styleId="14">
    <w:name w:val="Body Text 2"/>
    <w:basedOn w:val="1"/>
    <w:qFormat/>
    <w:uiPriority w:val="0"/>
    <w:rPr>
      <w:rFonts w:eastAsia="楷体_GB2312"/>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288"/>
      </w:tabs>
      <w:spacing w:line="380" w:lineRule="exact"/>
    </w:pPr>
  </w:style>
  <w:style w:type="paragraph" w:styleId="18">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3"/>
    <w:next w:val="4"/>
    <w:qFormat/>
    <w:uiPriority w:val="0"/>
    <w:pPr>
      <w:adjustRightInd/>
      <w:ind w:firstLine="420"/>
      <w:jc w:val="both"/>
      <w:textAlignment w:val="auto"/>
    </w:pPr>
    <w:rPr>
      <w:kern w:val="2"/>
      <w:sz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qFormat/>
    <w:uiPriority w:val="0"/>
    <w:rPr>
      <w:color w:val="444444"/>
      <w:sz w:val="21"/>
      <w:szCs w:val="21"/>
      <w:u w:val="none"/>
    </w:rPr>
  </w:style>
  <w:style w:type="character" w:styleId="31">
    <w:name w:val="HTML Code"/>
    <w:basedOn w:val="23"/>
    <w:qFormat/>
    <w:uiPriority w:val="0"/>
    <w:rPr>
      <w:rFonts w:hint="default" w:ascii="serif" w:hAnsi="serif" w:eastAsia="serif" w:cs="serif"/>
      <w:sz w:val="21"/>
      <w:szCs w:val="21"/>
    </w:rPr>
  </w:style>
  <w:style w:type="character" w:styleId="32">
    <w:name w:val="HTML Cite"/>
    <w:basedOn w:val="23"/>
    <w:qFormat/>
    <w:uiPriority w:val="0"/>
    <w:rPr>
      <w:color w:val="008000"/>
    </w:rPr>
  </w:style>
  <w:style w:type="character" w:styleId="33">
    <w:name w:val="HTML Keyboard"/>
    <w:basedOn w:val="23"/>
    <w:qFormat/>
    <w:uiPriority w:val="0"/>
    <w:rPr>
      <w:rFonts w:ascii="serif" w:hAnsi="serif" w:eastAsia="serif" w:cs="serif"/>
      <w:color w:val="338DE6"/>
      <w:sz w:val="21"/>
      <w:szCs w:val="21"/>
      <w:u w:val="none"/>
    </w:rPr>
  </w:style>
  <w:style w:type="character" w:styleId="34">
    <w:name w:val="HTML Sample"/>
    <w:basedOn w:val="23"/>
    <w:qFormat/>
    <w:uiPriority w:val="0"/>
    <w:rPr>
      <w:rFonts w:hint="default" w:ascii="serif" w:hAnsi="serif" w:eastAsia="serif" w:cs="serif"/>
      <w:sz w:val="21"/>
      <w:szCs w:val="21"/>
    </w:rPr>
  </w:style>
  <w:style w:type="paragraph" w:customStyle="1" w:styleId="35">
    <w:name w:val="文档正文5"/>
    <w:basedOn w:val="11"/>
    <w:qFormat/>
    <w:uiPriority w:val="0"/>
    <w:pPr>
      <w:snapToGrid w:val="0"/>
      <w:spacing w:line="440" w:lineRule="exact"/>
      <w:ind w:firstLine="505"/>
    </w:pPr>
    <w:rPr>
      <w:spacing w:val="4"/>
      <w:sz w:val="24"/>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3"/>
    <w:qFormat/>
    <w:uiPriority w:val="0"/>
    <w:rPr>
      <w:rFonts w:ascii="Arial" w:hAnsi="Arial" w:cs="Arial"/>
      <w:color w:val="000000"/>
      <w:sz w:val="20"/>
      <w:szCs w:val="20"/>
      <w:u w:val="none"/>
    </w:rPr>
  </w:style>
  <w:style w:type="character" w:customStyle="1" w:styleId="38">
    <w:name w:val="font31"/>
    <w:basedOn w:val="23"/>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3"/>
    <w:qFormat/>
    <w:uiPriority w:val="0"/>
  </w:style>
  <w:style w:type="character" w:customStyle="1" w:styleId="41">
    <w:name w:val="fontborder"/>
    <w:basedOn w:val="23"/>
    <w:qFormat/>
    <w:uiPriority w:val="0"/>
    <w:rPr>
      <w:color w:val="333333"/>
      <w:sz w:val="21"/>
      <w:szCs w:val="21"/>
      <w:bdr w:val="single" w:color="000000" w:sz="6" w:space="0"/>
    </w:rPr>
  </w:style>
  <w:style w:type="character" w:customStyle="1" w:styleId="42">
    <w:name w:val="fontstrikethrough"/>
    <w:basedOn w:val="23"/>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3"/>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3"/>
    <w:qFormat/>
    <w:uiPriority w:val="0"/>
  </w:style>
  <w:style w:type="character" w:customStyle="1" w:styleId="53">
    <w:name w:val="hover17"/>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7922</Words>
  <Characters>8208</Characters>
  <Lines>0</Lines>
  <Paragraphs>0</Paragraphs>
  <TotalTime>0</TotalTime>
  <ScaleCrop>false</ScaleCrop>
  <LinksUpToDate>false</LinksUpToDate>
  <CharactersWithSpaces>9927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2023-04-26T08:42:23Z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E4E75E05D7D2425899EC7AD194CE823B</vt:lpwstr>
  </property>
</Properties>
</file>